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7262E" w14:textId="77777777" w:rsidR="007E1377" w:rsidRPr="007E1377" w:rsidRDefault="007E1377" w:rsidP="007E1377">
      <w:pPr>
        <w:jc w:val="center"/>
        <w:rPr>
          <w:sz w:val="28"/>
          <w:szCs w:val="28"/>
        </w:rPr>
      </w:pPr>
      <w:r w:rsidRPr="007E1377">
        <w:rPr>
          <w:sz w:val="28"/>
          <w:szCs w:val="28"/>
        </w:rPr>
        <w:t>RESUMEN DEL INFORME DE SEGUIMIENTO AL CONTINGENTE JUDICIAL (TERCER TRIMESTRE DE 2025)</w:t>
      </w:r>
    </w:p>
    <w:p w14:paraId="2EEE226D" w14:textId="77777777" w:rsidR="007E1377" w:rsidRDefault="007E1377" w:rsidP="007E1377">
      <w:pPr>
        <w:jc w:val="both"/>
      </w:pPr>
    </w:p>
    <w:p w14:paraId="1E54E0CE" w14:textId="77777777" w:rsidR="0025350E" w:rsidRDefault="00890900" w:rsidP="007E1377">
      <w:pPr>
        <w:jc w:val="both"/>
      </w:pPr>
      <w:r w:rsidRPr="00890900">
        <w:t xml:space="preserve">El informe de la Oficina de Control Interno (OCI) reveló hallazgos críticos en la consistencia de la información financiera y jurídica de FONCEP. </w:t>
      </w:r>
      <w:r>
        <w:t>Existen</w:t>
      </w:r>
      <w:r w:rsidRPr="00890900">
        <w:t xml:space="preserve"> 705 procesos </w:t>
      </w:r>
      <w:r w:rsidRPr="00890900">
        <w:t>activos,</w:t>
      </w:r>
      <w:r w:rsidRPr="00890900">
        <w:t xml:space="preserve"> de los cuales 437 están en contra de la entidad. </w:t>
      </w:r>
    </w:p>
    <w:p w14:paraId="0E687889" w14:textId="6C2D93BA" w:rsidR="0025350E" w:rsidRPr="0025350E" w:rsidRDefault="0025350E" w:rsidP="007E1377">
      <w:pPr>
        <w:jc w:val="both"/>
        <w:rPr>
          <w:b/>
          <w:bCs/>
          <w:color w:val="EE0000"/>
        </w:rPr>
      </w:pPr>
      <w:r w:rsidRPr="0025350E">
        <w:rPr>
          <w:b/>
          <w:bCs/>
          <w:color w:val="EE0000"/>
        </w:rPr>
        <w:t xml:space="preserve">Inconsistencias: </w:t>
      </w:r>
    </w:p>
    <w:p w14:paraId="6F7DC51B" w14:textId="394104F8" w:rsidR="00C824A3" w:rsidRDefault="00890900" w:rsidP="00B67B93">
      <w:pPr>
        <w:pStyle w:val="Prrafodelista"/>
        <w:numPr>
          <w:ilvl w:val="0"/>
          <w:numId w:val="4"/>
        </w:numPr>
        <w:jc w:val="both"/>
      </w:pPr>
      <w:r w:rsidRPr="00890900">
        <w:t>Se identificaron diferencias entre los valores registrados en el aplicativo SIPROJWEB y la Contabilidad; específicamente, una discrepancia de $778.322 en los procesos calificados como "POSIBLES" (Cuenta 9905). Además, se encontró una brecha sustancial entre el valor contabilizado en la Cuenta 2460 y el reporte SIPROJWEB de procesos desfavorables terminados con erogación económica.</w:t>
      </w:r>
    </w:p>
    <w:p w14:paraId="3412DB09" w14:textId="77777777" w:rsidR="00B67B93" w:rsidRDefault="00B67B93" w:rsidP="00B67B93">
      <w:pPr>
        <w:pStyle w:val="Prrafodelista"/>
        <w:jc w:val="both"/>
      </w:pPr>
    </w:p>
    <w:p w14:paraId="320771B6" w14:textId="3A2A124C" w:rsidR="00B67B93" w:rsidRDefault="00B67B93" w:rsidP="00B67B93">
      <w:pPr>
        <w:pStyle w:val="Prrafodelista"/>
        <w:numPr>
          <w:ilvl w:val="0"/>
          <w:numId w:val="4"/>
        </w:numPr>
        <w:jc w:val="both"/>
      </w:pPr>
      <w:r w:rsidRPr="00B67B93">
        <w:t>La deficiencia más notoria es la falta de seguimiento permanente de 130 procesos registrados en SIPROJWEB, lo cual incumple la Resolución 485 de 2023.</w:t>
      </w:r>
    </w:p>
    <w:p w14:paraId="7EFD4640" w14:textId="77777777" w:rsidR="008D0320" w:rsidRDefault="008D0320" w:rsidP="008D0320">
      <w:pPr>
        <w:pStyle w:val="Prrafodelista"/>
      </w:pPr>
    </w:p>
    <w:p w14:paraId="1666C0C0" w14:textId="62A7A597" w:rsidR="008D0320" w:rsidRDefault="008D0320" w:rsidP="00B67B93">
      <w:pPr>
        <w:pStyle w:val="Prrafodelista"/>
        <w:numPr>
          <w:ilvl w:val="0"/>
          <w:numId w:val="4"/>
        </w:numPr>
        <w:jc w:val="both"/>
      </w:pPr>
      <w:r w:rsidRPr="008D0320">
        <w:t>Las principales carencias evidenciadas demuestran que el sistema de control interno es susceptible de mejora en la ejecución de sus procedimientos</w:t>
      </w:r>
    </w:p>
    <w:p w14:paraId="209C218B" w14:textId="77777777" w:rsidR="008D0320" w:rsidRDefault="008D0320" w:rsidP="008D0320">
      <w:pPr>
        <w:pStyle w:val="Prrafodelista"/>
      </w:pPr>
    </w:p>
    <w:p w14:paraId="116D13C5" w14:textId="0A3A8F47" w:rsidR="008D0320" w:rsidRDefault="00E517B4" w:rsidP="00B67B93">
      <w:pPr>
        <w:pStyle w:val="Prrafodelista"/>
        <w:numPr>
          <w:ilvl w:val="0"/>
          <w:numId w:val="4"/>
        </w:numPr>
        <w:jc w:val="both"/>
      </w:pPr>
      <w:r w:rsidRPr="00E517B4">
        <w:t>El informe reitera la necesidad de fortalecer los controles relacionados con el registro de los procesos judiciales para garantizar que las cifras reflejen fielmente la realidad económica de la entidad.</w:t>
      </w:r>
    </w:p>
    <w:p w14:paraId="5FE736FD" w14:textId="29D1688F" w:rsidR="00C824A3" w:rsidRPr="00E517B4" w:rsidRDefault="00E517B4" w:rsidP="007E1377">
      <w:pPr>
        <w:jc w:val="both"/>
        <w:rPr>
          <w:b/>
          <w:bCs/>
          <w:color w:val="00B050"/>
        </w:rPr>
      </w:pPr>
      <w:r w:rsidRPr="00E517B4">
        <w:rPr>
          <w:b/>
          <w:bCs/>
          <w:color w:val="00B050"/>
        </w:rPr>
        <w:t xml:space="preserve">Lo Positivo: </w:t>
      </w:r>
    </w:p>
    <w:p w14:paraId="1C075A79" w14:textId="3ECA2D34" w:rsidR="00E517B4" w:rsidRDefault="00E517B4" w:rsidP="007E1377">
      <w:pPr>
        <w:jc w:val="both"/>
      </w:pPr>
      <w:r>
        <w:t>E</w:t>
      </w:r>
      <w:r w:rsidRPr="00E517B4">
        <w:t xml:space="preserve">l informe destacó fortalezas significativas en el marco de control. La entidad cumplió con el plazo establecido para realizar la valoración del contingente judicial del </w:t>
      </w:r>
      <w:r w:rsidRPr="00E517B4">
        <w:t>trimestre,</w:t>
      </w:r>
      <w:r w:rsidRPr="00E517B4">
        <w:t xml:space="preserve"> y los montos pagados por sentencias judiciales y costas procesales mostraron consistencia con los registros de nómina y el SIPROJWEB. Además, la OCI no evidenció la materialización de los riesgos identificados en el proceso de defensa judicial. Los controles evaluados se encuentran categorizados como preventivos, están documentados y se ejecutan de forma continua, lo que indica un diseño formal robusto para la mitigación de riesgos.</w:t>
      </w:r>
    </w:p>
    <w:p w14:paraId="5A0EBE43" w14:textId="77777777" w:rsidR="00F55C10" w:rsidRDefault="00F55C10" w:rsidP="00F55C10">
      <w:pPr>
        <w:jc w:val="both"/>
      </w:pPr>
      <w:r>
        <w:t xml:space="preserve">RECOMENDACIONES: </w:t>
      </w:r>
    </w:p>
    <w:p w14:paraId="02A5EB15" w14:textId="77777777" w:rsidR="00F55C10" w:rsidRDefault="00F55C10" w:rsidP="00F55C10">
      <w:pPr>
        <w:jc w:val="both"/>
      </w:pPr>
    </w:p>
    <w:p w14:paraId="323836D5" w14:textId="77777777" w:rsidR="00F55C10" w:rsidRDefault="00F55C10" w:rsidP="00F55C10">
      <w:pPr>
        <w:pStyle w:val="Prrafodelista"/>
        <w:numPr>
          <w:ilvl w:val="0"/>
          <w:numId w:val="5"/>
        </w:numPr>
        <w:jc w:val="both"/>
      </w:pPr>
      <w:r w:rsidRPr="00F55C10">
        <w:t xml:space="preserve">Adelantar las acciones necesarias con la Secretaría Jurídica Distrital para ajustar la información registrada del aplicativo SIPROJWEB, para lograr la consistencia de la información de procesos desfavorables terminados sin cumplimiento (con erogación económica), conforme a lo dispuesto en el Decreto 479 de 2024 y la Resolución 485 de 2023 y la Circular 29 del 28 de diciembre del 2023. </w:t>
      </w:r>
    </w:p>
    <w:p w14:paraId="319C57AF" w14:textId="77777777" w:rsidR="00F55C10" w:rsidRDefault="00F55C10" w:rsidP="00F55C10">
      <w:pPr>
        <w:pStyle w:val="Prrafodelista"/>
        <w:jc w:val="both"/>
      </w:pPr>
    </w:p>
    <w:p w14:paraId="55DC97EF" w14:textId="77777777" w:rsidR="00F55C10" w:rsidRPr="007E1377" w:rsidRDefault="00F55C10" w:rsidP="00F55C10">
      <w:pPr>
        <w:pStyle w:val="Prrafodelista"/>
        <w:numPr>
          <w:ilvl w:val="0"/>
          <w:numId w:val="5"/>
        </w:numPr>
        <w:jc w:val="both"/>
      </w:pPr>
      <w:r w:rsidRPr="00F55C10">
        <w:lastRenderedPageBreak/>
        <w:t>Realizar el ajuste correspondiente al valor no contabilizado en la cuenta 9905 denominada Pasivos contingentes por contra (DB); asociado a los procesos con calificación posible; así mismo, fortalecer los controles relacionados con el registro de los procesos judiciales, con el fin de garantizar que las cifras reflejen fielmente la realidad económica de la entidad.</w:t>
      </w:r>
    </w:p>
    <w:p w14:paraId="2C7CCA86" w14:textId="77777777" w:rsidR="00C824A3" w:rsidRDefault="00C824A3" w:rsidP="007E1377">
      <w:pPr>
        <w:jc w:val="both"/>
      </w:pPr>
    </w:p>
    <w:p w14:paraId="747F7795" w14:textId="2B046605" w:rsidR="00FA7211" w:rsidRPr="00F55C10" w:rsidRDefault="003E43A4" w:rsidP="007E1377">
      <w:pPr>
        <w:jc w:val="both"/>
        <w:rPr>
          <w:b/>
          <w:bCs/>
          <w:u w:val="single"/>
        </w:rPr>
      </w:pPr>
      <w:r w:rsidRPr="00F55C10">
        <w:rPr>
          <w:b/>
          <w:bCs/>
          <w:u w:val="single"/>
        </w:rPr>
        <w:t xml:space="preserve">Detalle del informe: </w:t>
      </w:r>
    </w:p>
    <w:p w14:paraId="10FC6752" w14:textId="77777777" w:rsidR="003E43A4" w:rsidRDefault="003E43A4" w:rsidP="007E1377">
      <w:pPr>
        <w:jc w:val="both"/>
      </w:pPr>
    </w:p>
    <w:p w14:paraId="5FFDD1EF" w14:textId="6A857FBB" w:rsidR="007E1377" w:rsidRPr="007E1377" w:rsidRDefault="007E1377" w:rsidP="007E1377">
      <w:pPr>
        <w:jc w:val="both"/>
        <w:rPr>
          <w:b/>
          <w:bCs/>
        </w:rPr>
      </w:pPr>
      <w:r w:rsidRPr="007E1377">
        <w:rPr>
          <w:b/>
          <w:bCs/>
        </w:rPr>
        <w:t>1. OBJETIVOS Y ALCANCE</w:t>
      </w:r>
    </w:p>
    <w:p w14:paraId="65B765A7" w14:textId="77777777" w:rsidR="007E1377" w:rsidRDefault="007E1377" w:rsidP="007E1377">
      <w:pPr>
        <w:jc w:val="both"/>
      </w:pPr>
      <w:r w:rsidRPr="007E1377">
        <w:rPr>
          <w:b/>
          <w:bCs/>
        </w:rPr>
        <w:t>Objetivo General:</w:t>
      </w:r>
      <w:r>
        <w:t xml:space="preserve"> Determinar la confiabilidad del registro de la actividad litigiosa y la contabilización de los pasivos contingentes y defensa jurídica.</w:t>
      </w:r>
    </w:p>
    <w:p w14:paraId="7B3592B3" w14:textId="77777777" w:rsidR="007E1377" w:rsidRDefault="007E1377" w:rsidP="007E1377">
      <w:pPr>
        <w:jc w:val="both"/>
      </w:pPr>
      <w:r w:rsidRPr="007E1377">
        <w:rPr>
          <w:b/>
          <w:bCs/>
        </w:rPr>
        <w:t>Objetivos Específicos:</w:t>
      </w:r>
      <w:r>
        <w:t xml:space="preserve"> Verificar el registro de la actividad litigiosa en el aplicativo SIPROJWEB y verificar la contabilización del contingente judicial en los estados financieros de FONCEP y FPPB.</w:t>
      </w:r>
    </w:p>
    <w:p w14:paraId="1AEF21E4" w14:textId="77777777" w:rsidR="007E1377" w:rsidRDefault="007E1377" w:rsidP="007E1377">
      <w:pPr>
        <w:jc w:val="both"/>
      </w:pPr>
      <w:r w:rsidRPr="007E1377">
        <w:rPr>
          <w:b/>
          <w:bCs/>
        </w:rPr>
        <w:t>Alcance</w:t>
      </w:r>
      <w:r>
        <w:t>: La valoración y registro contable del contingente judicial del tercer trimestre de 2025, junto con la verificación de la efectividad de los controles establecidos.</w:t>
      </w:r>
    </w:p>
    <w:p w14:paraId="7CBCD20E" w14:textId="523424D3" w:rsidR="007E1377" w:rsidRDefault="007E1377" w:rsidP="007E1377">
      <w:pPr>
        <w:jc w:val="both"/>
      </w:pPr>
      <w:r w:rsidRPr="007E1377">
        <w:rPr>
          <w:b/>
          <w:bCs/>
        </w:rPr>
        <w:t>Metodología</w:t>
      </w:r>
      <w:r>
        <w:t>: Se aplicaron las normas internacionales para la práctica profesional de la auditoría interna, realizando consultas al aplicativo SIPROJWEB y verificación documental con fecha de corte al 30 de septiembre de 2025.</w:t>
      </w:r>
    </w:p>
    <w:p w14:paraId="32052619" w14:textId="77777777" w:rsidR="007E1377" w:rsidRPr="007E1377" w:rsidRDefault="007E1377" w:rsidP="007E1377">
      <w:pPr>
        <w:jc w:val="both"/>
        <w:rPr>
          <w:b/>
          <w:bCs/>
        </w:rPr>
      </w:pPr>
    </w:p>
    <w:p w14:paraId="7A2B48FA" w14:textId="6F81F64C" w:rsidR="007E1377" w:rsidRDefault="007E1377" w:rsidP="007E1377">
      <w:pPr>
        <w:jc w:val="both"/>
        <w:rPr>
          <w:b/>
          <w:bCs/>
        </w:rPr>
      </w:pPr>
      <w:r w:rsidRPr="007E1377">
        <w:rPr>
          <w:b/>
          <w:bCs/>
        </w:rPr>
        <w:t>2. RESULTADOS</w:t>
      </w:r>
    </w:p>
    <w:p w14:paraId="1A2819EB" w14:textId="77777777" w:rsidR="007E1377" w:rsidRPr="007E1377" w:rsidRDefault="007E1377" w:rsidP="007E1377">
      <w:pPr>
        <w:jc w:val="both"/>
        <w:rPr>
          <w:b/>
          <w:bCs/>
        </w:rPr>
      </w:pPr>
      <w:r w:rsidRPr="007E1377">
        <w:rPr>
          <w:b/>
          <w:bCs/>
        </w:rPr>
        <w:t>2.1. Registro en SIPROJWEB</w:t>
      </w:r>
    </w:p>
    <w:p w14:paraId="0F77053F" w14:textId="77777777" w:rsidR="007E1377" w:rsidRDefault="007E1377" w:rsidP="007E1377">
      <w:pPr>
        <w:pStyle w:val="Prrafodelista"/>
        <w:numPr>
          <w:ilvl w:val="0"/>
          <w:numId w:val="1"/>
        </w:numPr>
        <w:jc w:val="both"/>
      </w:pPr>
      <w:r>
        <w:t>La OCI reportó que la entidad cuenta con 705 procesos activos a corte del 30 de septiembre de 2025.</w:t>
      </w:r>
    </w:p>
    <w:p w14:paraId="7C4DE3AD" w14:textId="77777777" w:rsidR="007E1377" w:rsidRDefault="007E1377" w:rsidP="007E1377">
      <w:pPr>
        <w:pStyle w:val="Prrafodelista"/>
        <w:numPr>
          <w:ilvl w:val="0"/>
          <w:numId w:val="1"/>
        </w:numPr>
        <w:jc w:val="both"/>
      </w:pPr>
      <w:r>
        <w:t>Los tipos de proceso más representativos son "nulidad y restablecimiento del derecho" (62,12%) y "ordinario laboral" (17,73%).</w:t>
      </w:r>
    </w:p>
    <w:p w14:paraId="32CC3EC0" w14:textId="02CA594C" w:rsidR="007E1377" w:rsidRDefault="007E1377" w:rsidP="007E1377">
      <w:pPr>
        <w:pStyle w:val="Prrafodelista"/>
        <w:numPr>
          <w:ilvl w:val="0"/>
          <w:numId w:val="1"/>
        </w:numPr>
        <w:jc w:val="both"/>
      </w:pPr>
      <w:r>
        <w:t xml:space="preserve">De los procesos, 437 están en contra de la </w:t>
      </w:r>
      <w:r>
        <w:t>entidad,</w:t>
      </w:r>
      <w:r>
        <w:t xml:space="preserve"> 259 fueron iniciados por FONCEP, 5 son mixtos y 4 son procesos vinculados.</w:t>
      </w:r>
    </w:p>
    <w:p w14:paraId="2AD472B4" w14:textId="77777777" w:rsidR="007E1377" w:rsidRDefault="007E1377" w:rsidP="007E1377">
      <w:pPr>
        <w:pStyle w:val="Prrafodelista"/>
        <w:numPr>
          <w:ilvl w:val="0"/>
          <w:numId w:val="1"/>
        </w:numPr>
        <w:jc w:val="both"/>
      </w:pPr>
      <w:r>
        <w:t>La OCI verificó una muestra no estadística, observando que los procesos cuentan con seguimiento durante el trimestre, cumpliendo con la Resolución 485 de 2023.</w:t>
      </w:r>
    </w:p>
    <w:p w14:paraId="183D3E86" w14:textId="6783A15D" w:rsidR="007E1377" w:rsidRPr="007E1377" w:rsidRDefault="007E1377" w:rsidP="007E1377">
      <w:pPr>
        <w:pStyle w:val="Prrafodelista"/>
        <w:numPr>
          <w:ilvl w:val="0"/>
          <w:numId w:val="1"/>
        </w:numPr>
        <w:jc w:val="both"/>
      </w:pPr>
      <w:r>
        <w:t>Se observó un pago de sentencias judiciales por $1.995 millones durante el trimestre, cifra que coincidió con lo reportado en nóminas y actos administrativos.</w:t>
      </w:r>
    </w:p>
    <w:p w14:paraId="41453BD0" w14:textId="77777777" w:rsidR="007E1377" w:rsidRPr="007E1377" w:rsidRDefault="007E1377" w:rsidP="007E1377">
      <w:pPr>
        <w:jc w:val="both"/>
        <w:rPr>
          <w:b/>
          <w:bCs/>
        </w:rPr>
      </w:pPr>
      <w:r w:rsidRPr="007E1377">
        <w:rPr>
          <w:b/>
          <w:bCs/>
        </w:rPr>
        <w:t>2.2. Calificación y Valoración del Contingente</w:t>
      </w:r>
    </w:p>
    <w:p w14:paraId="55F435C7" w14:textId="624CB5E7" w:rsidR="007E1377" w:rsidRDefault="007E1377" w:rsidP="007E1377">
      <w:pPr>
        <w:jc w:val="both"/>
      </w:pPr>
      <w:r w:rsidRPr="007E1377">
        <w:rPr>
          <w:b/>
          <w:bCs/>
        </w:rPr>
        <w:t xml:space="preserve">Cumplimiento: </w:t>
      </w:r>
      <w:r w:rsidRPr="007E1377">
        <w:t xml:space="preserve">La entidad </w:t>
      </w:r>
      <w:r w:rsidRPr="007E1377">
        <w:rPr>
          <w:b/>
          <w:bCs/>
          <w:highlight w:val="cyan"/>
        </w:rPr>
        <w:t>dio cumplimiento</w:t>
      </w:r>
      <w:r w:rsidRPr="007E1377">
        <w:t xml:space="preserve"> al plazo para realizar la valoración del contingente judicial del tercer trimestre de 2025, registrándola en el aplicativo el 25/09/2025</w:t>
      </w:r>
    </w:p>
    <w:p w14:paraId="332B1C0F" w14:textId="77777777" w:rsidR="007E1377" w:rsidRDefault="007E1377" w:rsidP="007E1377">
      <w:pPr>
        <w:jc w:val="both"/>
      </w:pPr>
    </w:p>
    <w:p w14:paraId="31EF3190" w14:textId="77777777" w:rsidR="007E1377" w:rsidRDefault="007E1377" w:rsidP="007E1377">
      <w:pPr>
        <w:jc w:val="both"/>
      </w:pPr>
    </w:p>
    <w:p w14:paraId="6A1D444B" w14:textId="77777777" w:rsidR="007E1377" w:rsidRDefault="007E1377" w:rsidP="007E1377">
      <w:pPr>
        <w:jc w:val="both"/>
      </w:pPr>
    </w:p>
    <w:p w14:paraId="3DDF2DFA" w14:textId="404D21FA" w:rsidR="007E1377" w:rsidRDefault="007E1377" w:rsidP="007E1377">
      <w:pPr>
        <w:jc w:val="both"/>
      </w:pPr>
      <w:r>
        <w:t>Clasificación de Obligaciones (Procesos en Contra):</w:t>
      </w:r>
    </w:p>
    <w:p w14:paraId="149A2D2D" w14:textId="77777777" w:rsidR="007E1377" w:rsidRDefault="007E1377" w:rsidP="007E1377">
      <w:pPr>
        <w:pStyle w:val="Prrafodelista"/>
        <w:numPr>
          <w:ilvl w:val="0"/>
          <w:numId w:val="2"/>
        </w:numPr>
        <w:jc w:val="both"/>
      </w:pPr>
      <w:r>
        <w:t>POSIBLES (se revela en cuentas de orden): 330 procesos.</w:t>
      </w:r>
    </w:p>
    <w:p w14:paraId="2AE985F7" w14:textId="77777777" w:rsidR="007E1377" w:rsidRDefault="007E1377" w:rsidP="007E1377">
      <w:pPr>
        <w:pStyle w:val="Prrafodelista"/>
        <w:numPr>
          <w:ilvl w:val="0"/>
          <w:numId w:val="2"/>
        </w:numPr>
        <w:jc w:val="both"/>
      </w:pPr>
      <w:r>
        <w:t>PROBABLE (se reconoce como provisión): 61 procesos.</w:t>
      </w:r>
    </w:p>
    <w:p w14:paraId="11E5F886" w14:textId="748EF212" w:rsidR="007E1377" w:rsidRDefault="007E1377" w:rsidP="007E1377">
      <w:pPr>
        <w:pStyle w:val="Prrafodelista"/>
        <w:numPr>
          <w:ilvl w:val="0"/>
          <w:numId w:val="2"/>
        </w:numPr>
        <w:jc w:val="both"/>
      </w:pPr>
      <w:r>
        <w:t>SIN OBLIGACIÓN/REMOTA: 46 procesos clasificados como "Sin Obligación"</w:t>
      </w:r>
    </w:p>
    <w:p w14:paraId="3420052A" w14:textId="77777777" w:rsidR="007E1377" w:rsidRDefault="007E1377" w:rsidP="007E1377">
      <w:pPr>
        <w:jc w:val="both"/>
      </w:pPr>
    </w:p>
    <w:p w14:paraId="17CE6B2F" w14:textId="77777777" w:rsidR="007E1377" w:rsidRPr="007E1377" w:rsidRDefault="007E1377" w:rsidP="007E1377">
      <w:pPr>
        <w:jc w:val="both"/>
        <w:rPr>
          <w:b/>
          <w:bCs/>
        </w:rPr>
      </w:pPr>
      <w:r w:rsidRPr="007E1377">
        <w:rPr>
          <w:b/>
          <w:bCs/>
        </w:rPr>
        <w:t>2.3. Hallazgos y Discrepancias Contables</w:t>
      </w:r>
    </w:p>
    <w:p w14:paraId="64F2AA36" w14:textId="77777777" w:rsidR="007E1377" w:rsidRDefault="007E1377" w:rsidP="007E1377">
      <w:pPr>
        <w:jc w:val="both"/>
      </w:pPr>
      <w:r>
        <w:t xml:space="preserve">La OCI identificó las siguientes </w:t>
      </w:r>
      <w:r w:rsidRPr="007E1377">
        <w:rPr>
          <w:color w:val="EE0000"/>
        </w:rPr>
        <w:t xml:space="preserve">diferencias </w:t>
      </w:r>
      <w:r>
        <w:t>entre el SIPROJWEB y los registros de Contabilidad:</w:t>
      </w:r>
    </w:p>
    <w:p w14:paraId="76EBAFEF" w14:textId="77777777" w:rsidR="007E1377" w:rsidRDefault="007E1377" w:rsidP="007E1377">
      <w:pPr>
        <w:pStyle w:val="Prrafodelista"/>
        <w:numPr>
          <w:ilvl w:val="0"/>
          <w:numId w:val="3"/>
        </w:numPr>
        <w:jc w:val="both"/>
      </w:pPr>
      <w:r>
        <w:t>Procesos Posibles (Cuenta 9905 - Pasivos Contingentes): Se encontró una diferencia de $778.322 entre el valor registrado en Contabilidad ($20.601.499.488) y el valor reportado en SIPROJWEB ($20.602.277.810).</w:t>
      </w:r>
    </w:p>
    <w:p w14:paraId="2C5123CF" w14:textId="77777777" w:rsidR="007E1377" w:rsidRDefault="007E1377" w:rsidP="007E1377">
      <w:pPr>
        <w:pStyle w:val="Prrafodelista"/>
        <w:jc w:val="both"/>
      </w:pPr>
    </w:p>
    <w:p w14:paraId="11542096" w14:textId="77777777" w:rsidR="007E1377" w:rsidRDefault="007E1377" w:rsidP="007E1377">
      <w:pPr>
        <w:pStyle w:val="Prrafodelista"/>
        <w:numPr>
          <w:ilvl w:val="0"/>
          <w:numId w:val="3"/>
        </w:numPr>
        <w:jc w:val="both"/>
      </w:pPr>
      <w:r>
        <w:t xml:space="preserve">Procesos Probables (Cuenta 2701 - Provisión): El valor registrado en Contabilidad ($7.331.355.737) concordó con el registro en SIPROJWEB ($7.332.719.812). (Nota: La tabla muestra la diferencia de $1.364.075 en la observación de </w:t>
      </w:r>
      <w:r>
        <w:t>Contabilidad)</w:t>
      </w:r>
      <w:r>
        <w:t>.</w:t>
      </w:r>
    </w:p>
    <w:p w14:paraId="47236B74" w14:textId="77777777" w:rsidR="007E1377" w:rsidRDefault="007E1377" w:rsidP="007E1377">
      <w:pPr>
        <w:pStyle w:val="Prrafodelista"/>
        <w:jc w:val="both"/>
      </w:pPr>
    </w:p>
    <w:p w14:paraId="2D7C0336" w14:textId="5DEE12CD" w:rsidR="007E1377" w:rsidRDefault="007E1377" w:rsidP="007E1377">
      <w:pPr>
        <w:pStyle w:val="Prrafodelista"/>
        <w:numPr>
          <w:ilvl w:val="0"/>
          <w:numId w:val="3"/>
        </w:numPr>
        <w:jc w:val="both"/>
      </w:pPr>
      <w:r>
        <w:t>Procesos Terminados Desfavorables sin Cumplimiento: La OCI verificó una diferencia significativa entre el valor contabilizado en la cuenta 2460 ($81.151.360) y lo generado en el reporte de "procesos desfavorables con erogación económica" de SIPROJWEB ($8.670.080.320).</w:t>
      </w:r>
    </w:p>
    <w:p w14:paraId="2510F1E9" w14:textId="77777777" w:rsidR="007E1377" w:rsidRPr="007E1377" w:rsidRDefault="007E1377" w:rsidP="007E1377">
      <w:pPr>
        <w:jc w:val="both"/>
        <w:rPr>
          <w:b/>
          <w:bCs/>
        </w:rPr>
      </w:pPr>
      <w:r w:rsidRPr="007E1377">
        <w:rPr>
          <w:b/>
          <w:bCs/>
        </w:rPr>
        <w:t>3. Verificación de la Efectividad de los Controles (Control Interno)</w:t>
      </w:r>
    </w:p>
    <w:p w14:paraId="49E7B9BC" w14:textId="361B4E61" w:rsidR="008E081C" w:rsidRPr="003E43A4" w:rsidRDefault="007E1377" w:rsidP="007E1377">
      <w:pPr>
        <w:jc w:val="both"/>
      </w:pPr>
      <w:r>
        <w:t>La OCI evaluó los controles asociados a los riesgos del proceso de defensa judicial.</w:t>
      </w:r>
      <w:r w:rsidR="008E081C">
        <w:fldChar w:fldCharType="begin"/>
      </w:r>
      <w:r w:rsidR="008E081C">
        <w:instrText xml:space="preserve"> LINK Excel.Sheet.12 "Libro1" "Hoja1!F1C1:F5C3" \a \f 4 \h </w:instrText>
      </w:r>
      <w:r w:rsidR="001F49AC">
        <w:instrText xml:space="preserve"> \* MERGEFORMAT </w:instrText>
      </w:r>
      <w:r w:rsidR="008E081C">
        <w:fldChar w:fldCharType="separate"/>
      </w:r>
    </w:p>
    <w:tbl>
      <w:tblPr>
        <w:tblW w:w="8200" w:type="dxa"/>
        <w:jc w:val="center"/>
        <w:tblCellMar>
          <w:left w:w="70" w:type="dxa"/>
          <w:right w:w="70" w:type="dxa"/>
        </w:tblCellMar>
        <w:tblLook w:val="04A0" w:firstRow="1" w:lastRow="0" w:firstColumn="1" w:lastColumn="0" w:noHBand="0" w:noVBand="1"/>
      </w:tblPr>
      <w:tblGrid>
        <w:gridCol w:w="2500"/>
        <w:gridCol w:w="2480"/>
        <w:gridCol w:w="3220"/>
      </w:tblGrid>
      <w:tr w:rsidR="008E081C" w:rsidRPr="008E081C" w14:paraId="626BBA20" w14:textId="77777777" w:rsidTr="001F49AC">
        <w:trPr>
          <w:trHeight w:val="288"/>
          <w:jc w:val="center"/>
        </w:trPr>
        <w:tc>
          <w:tcPr>
            <w:tcW w:w="2500" w:type="dxa"/>
            <w:tcBorders>
              <w:top w:val="single" w:sz="4" w:space="0" w:color="auto"/>
              <w:left w:val="single" w:sz="4" w:space="0" w:color="auto"/>
              <w:bottom w:val="single" w:sz="4" w:space="0" w:color="auto"/>
              <w:right w:val="single" w:sz="4" w:space="0" w:color="auto"/>
            </w:tcBorders>
            <w:shd w:val="clear" w:color="000000" w:fill="BE5014"/>
            <w:vAlign w:val="center"/>
            <w:hideMark/>
          </w:tcPr>
          <w:p w14:paraId="4AE2DB97" w14:textId="1859D908" w:rsidR="008E081C" w:rsidRPr="008E081C" w:rsidRDefault="008E081C" w:rsidP="008E081C">
            <w:pPr>
              <w:spacing w:after="0" w:line="240" w:lineRule="auto"/>
              <w:jc w:val="center"/>
              <w:rPr>
                <w:rFonts w:ascii="Arial" w:eastAsia="Times New Roman" w:hAnsi="Arial" w:cs="Arial"/>
                <w:b/>
                <w:bCs/>
                <w:color w:val="FFFFFF"/>
                <w:kern w:val="0"/>
                <w:sz w:val="16"/>
                <w:szCs w:val="16"/>
                <w:lang w:val="es-CO" w:eastAsia="es-CO"/>
                <w14:ligatures w14:val="none"/>
              </w:rPr>
            </w:pPr>
            <w:r w:rsidRPr="008E081C">
              <w:rPr>
                <w:rFonts w:ascii="Arial" w:eastAsia="Times New Roman" w:hAnsi="Arial" w:cs="Arial"/>
                <w:b/>
                <w:bCs/>
                <w:color w:val="FFFFFF"/>
                <w:kern w:val="0"/>
                <w:sz w:val="16"/>
                <w:szCs w:val="16"/>
                <w:lang w:val="es-CO" w:eastAsia="es-CO"/>
                <w14:ligatures w14:val="none"/>
              </w:rPr>
              <w:t xml:space="preserve">Riesgo </w:t>
            </w:r>
          </w:p>
        </w:tc>
        <w:tc>
          <w:tcPr>
            <w:tcW w:w="2480" w:type="dxa"/>
            <w:tcBorders>
              <w:top w:val="single" w:sz="4" w:space="0" w:color="auto"/>
              <w:left w:val="nil"/>
              <w:bottom w:val="single" w:sz="4" w:space="0" w:color="auto"/>
              <w:right w:val="single" w:sz="4" w:space="0" w:color="auto"/>
            </w:tcBorders>
            <w:shd w:val="clear" w:color="000000" w:fill="BE5014"/>
            <w:vAlign w:val="center"/>
            <w:hideMark/>
          </w:tcPr>
          <w:p w14:paraId="7C0F03EC" w14:textId="77777777" w:rsidR="008E081C" w:rsidRPr="008E081C" w:rsidRDefault="008E081C" w:rsidP="008E081C">
            <w:pPr>
              <w:spacing w:after="0" w:line="240" w:lineRule="auto"/>
              <w:jc w:val="center"/>
              <w:rPr>
                <w:rFonts w:ascii="Arial" w:eastAsia="Times New Roman" w:hAnsi="Arial" w:cs="Arial"/>
                <w:b/>
                <w:bCs/>
                <w:color w:val="FFFFFF"/>
                <w:kern w:val="0"/>
                <w:sz w:val="16"/>
                <w:szCs w:val="16"/>
                <w:lang w:val="es-CO" w:eastAsia="es-CO"/>
                <w14:ligatures w14:val="none"/>
              </w:rPr>
            </w:pPr>
            <w:r w:rsidRPr="008E081C">
              <w:rPr>
                <w:rFonts w:ascii="Arial" w:eastAsia="Times New Roman" w:hAnsi="Arial" w:cs="Arial"/>
                <w:b/>
                <w:bCs/>
                <w:color w:val="FFFFFF"/>
                <w:kern w:val="0"/>
                <w:sz w:val="16"/>
                <w:szCs w:val="16"/>
                <w:lang w:val="es-CO" w:eastAsia="es-CO"/>
                <w14:ligatures w14:val="none"/>
              </w:rPr>
              <w:t xml:space="preserve">Control </w:t>
            </w:r>
          </w:p>
        </w:tc>
        <w:tc>
          <w:tcPr>
            <w:tcW w:w="3220" w:type="dxa"/>
            <w:tcBorders>
              <w:top w:val="single" w:sz="4" w:space="0" w:color="auto"/>
              <w:left w:val="nil"/>
              <w:bottom w:val="single" w:sz="4" w:space="0" w:color="auto"/>
              <w:right w:val="single" w:sz="4" w:space="0" w:color="auto"/>
            </w:tcBorders>
            <w:shd w:val="clear" w:color="auto" w:fill="0E2841" w:themeFill="text2"/>
            <w:vAlign w:val="center"/>
            <w:hideMark/>
          </w:tcPr>
          <w:p w14:paraId="67166D4B" w14:textId="77777777" w:rsidR="008E081C" w:rsidRPr="008E081C" w:rsidRDefault="008E081C" w:rsidP="008E081C">
            <w:pPr>
              <w:spacing w:after="0" w:line="240" w:lineRule="auto"/>
              <w:jc w:val="center"/>
              <w:rPr>
                <w:rFonts w:ascii="Arial" w:eastAsia="Times New Roman" w:hAnsi="Arial" w:cs="Arial"/>
                <w:b/>
                <w:bCs/>
                <w:color w:val="FFFFFF"/>
                <w:kern w:val="0"/>
                <w:sz w:val="16"/>
                <w:szCs w:val="16"/>
                <w:lang w:val="es-CO" w:eastAsia="es-CO"/>
                <w14:ligatures w14:val="none"/>
              </w:rPr>
            </w:pPr>
            <w:r w:rsidRPr="008E081C">
              <w:rPr>
                <w:rFonts w:ascii="Arial" w:eastAsia="Times New Roman" w:hAnsi="Arial" w:cs="Arial"/>
                <w:b/>
                <w:bCs/>
                <w:color w:val="FFFFFF"/>
                <w:kern w:val="0"/>
                <w:sz w:val="16"/>
                <w:szCs w:val="16"/>
                <w:lang w:val="es-CO" w:eastAsia="es-CO"/>
                <w14:ligatures w14:val="none"/>
              </w:rPr>
              <w:t xml:space="preserve">Evaluación OCI </w:t>
            </w:r>
          </w:p>
        </w:tc>
      </w:tr>
      <w:tr w:rsidR="008E081C" w:rsidRPr="008E081C" w14:paraId="6408A61A" w14:textId="77777777" w:rsidTr="006C59FA">
        <w:trPr>
          <w:trHeight w:val="432"/>
          <w:jc w:val="center"/>
        </w:trPr>
        <w:tc>
          <w:tcPr>
            <w:tcW w:w="2500" w:type="dxa"/>
            <w:tcBorders>
              <w:top w:val="nil"/>
              <w:left w:val="single" w:sz="4" w:space="0" w:color="auto"/>
              <w:bottom w:val="single" w:sz="4" w:space="0" w:color="auto"/>
              <w:right w:val="single" w:sz="4" w:space="0" w:color="auto"/>
            </w:tcBorders>
            <w:vAlign w:val="center"/>
            <w:hideMark/>
          </w:tcPr>
          <w:p w14:paraId="59D03C55" w14:textId="77777777"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Actuaciones desactualizadas en SIPROJWEB (Proceso)</w:t>
            </w:r>
          </w:p>
        </w:tc>
        <w:tc>
          <w:tcPr>
            <w:tcW w:w="2480" w:type="dxa"/>
            <w:tcBorders>
              <w:top w:val="nil"/>
              <w:left w:val="nil"/>
              <w:bottom w:val="single" w:sz="4" w:space="0" w:color="auto"/>
              <w:right w:val="single" w:sz="4" w:space="0" w:color="auto"/>
            </w:tcBorders>
            <w:vAlign w:val="center"/>
            <w:hideMark/>
          </w:tcPr>
          <w:p w14:paraId="24A77980" w14:textId="4C6471D6"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Asegurar el cargue oportuno.</w:t>
            </w:r>
          </w:p>
        </w:tc>
        <w:tc>
          <w:tcPr>
            <w:tcW w:w="3220" w:type="dxa"/>
            <w:tcBorders>
              <w:top w:val="nil"/>
              <w:left w:val="nil"/>
              <w:bottom w:val="single" w:sz="4" w:space="0" w:color="auto"/>
              <w:right w:val="single" w:sz="4" w:space="0" w:color="auto"/>
            </w:tcBorders>
            <w:vAlign w:val="center"/>
            <w:hideMark/>
          </w:tcPr>
          <w:p w14:paraId="47ECD733" w14:textId="1A1E3595"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 xml:space="preserve">Monitoreado. </w:t>
            </w:r>
            <w:r w:rsidRPr="008E081C">
              <w:rPr>
                <w:rFonts w:ascii="Arial" w:eastAsia="Times New Roman" w:hAnsi="Arial" w:cs="Arial"/>
                <w:color w:val="000000"/>
                <w:kern w:val="0"/>
                <w:sz w:val="16"/>
                <w:szCs w:val="16"/>
                <w:highlight w:val="cyan"/>
                <w:lang w:val="es-CO" w:eastAsia="es-CO"/>
                <w14:ligatures w14:val="none"/>
              </w:rPr>
              <w:t>No se evidenció</w:t>
            </w:r>
            <w:r w:rsidRPr="008E081C">
              <w:rPr>
                <w:rFonts w:ascii="Arial" w:eastAsia="Times New Roman" w:hAnsi="Arial" w:cs="Arial"/>
                <w:color w:val="000000"/>
                <w:kern w:val="0"/>
                <w:sz w:val="16"/>
                <w:szCs w:val="16"/>
                <w:lang w:val="es-CO" w:eastAsia="es-CO"/>
                <w14:ligatures w14:val="none"/>
              </w:rPr>
              <w:t xml:space="preserve"> materialización de los riesgos. </w:t>
            </w:r>
          </w:p>
        </w:tc>
      </w:tr>
      <w:tr w:rsidR="008E081C" w:rsidRPr="008E081C" w14:paraId="529D5B2B" w14:textId="77777777" w:rsidTr="006C59FA">
        <w:trPr>
          <w:trHeight w:val="636"/>
          <w:jc w:val="center"/>
        </w:trPr>
        <w:tc>
          <w:tcPr>
            <w:tcW w:w="2500" w:type="dxa"/>
            <w:tcBorders>
              <w:top w:val="nil"/>
              <w:left w:val="single" w:sz="4" w:space="0" w:color="auto"/>
              <w:bottom w:val="single" w:sz="4" w:space="0" w:color="auto"/>
              <w:right w:val="single" w:sz="4" w:space="0" w:color="auto"/>
            </w:tcBorders>
            <w:vAlign w:val="center"/>
            <w:hideMark/>
          </w:tcPr>
          <w:p w14:paraId="3AD926D6" w14:textId="77777777"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Contingente Judicial sin calificar (Proceso)</w:t>
            </w:r>
          </w:p>
        </w:tc>
        <w:tc>
          <w:tcPr>
            <w:tcW w:w="2480" w:type="dxa"/>
            <w:tcBorders>
              <w:top w:val="nil"/>
              <w:left w:val="nil"/>
              <w:bottom w:val="single" w:sz="4" w:space="0" w:color="auto"/>
              <w:right w:val="single" w:sz="4" w:space="0" w:color="auto"/>
            </w:tcBorders>
            <w:vAlign w:val="center"/>
            <w:hideMark/>
          </w:tcPr>
          <w:p w14:paraId="37B3AF18" w14:textId="0C465114"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Asegurar el seguimiento de la calificación de la totalidad de procesos activos.</w:t>
            </w:r>
          </w:p>
        </w:tc>
        <w:tc>
          <w:tcPr>
            <w:tcW w:w="3220" w:type="dxa"/>
            <w:tcBorders>
              <w:top w:val="nil"/>
              <w:left w:val="nil"/>
              <w:bottom w:val="single" w:sz="4" w:space="0" w:color="auto"/>
              <w:right w:val="single" w:sz="4" w:space="0" w:color="auto"/>
            </w:tcBorders>
            <w:vAlign w:val="center"/>
            <w:hideMark/>
          </w:tcPr>
          <w:p w14:paraId="0350ECE9" w14:textId="0715ED93"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 xml:space="preserve">Monitoreado. </w:t>
            </w:r>
            <w:r w:rsidRPr="008E081C">
              <w:rPr>
                <w:rFonts w:ascii="Arial" w:eastAsia="Times New Roman" w:hAnsi="Arial" w:cs="Arial"/>
                <w:color w:val="000000"/>
                <w:kern w:val="0"/>
                <w:sz w:val="16"/>
                <w:szCs w:val="16"/>
                <w:highlight w:val="cyan"/>
                <w:lang w:val="es-CO" w:eastAsia="es-CO"/>
                <w14:ligatures w14:val="none"/>
              </w:rPr>
              <w:t>No se evidenció</w:t>
            </w:r>
            <w:r w:rsidRPr="008E081C">
              <w:rPr>
                <w:rFonts w:ascii="Arial" w:eastAsia="Times New Roman" w:hAnsi="Arial" w:cs="Arial"/>
                <w:color w:val="000000"/>
                <w:kern w:val="0"/>
                <w:sz w:val="16"/>
                <w:szCs w:val="16"/>
                <w:lang w:val="es-CO" w:eastAsia="es-CO"/>
                <w14:ligatures w14:val="none"/>
              </w:rPr>
              <w:t xml:space="preserve"> materialización de los riesgos. </w:t>
            </w:r>
          </w:p>
        </w:tc>
      </w:tr>
      <w:tr w:rsidR="008E081C" w:rsidRPr="008E081C" w14:paraId="38AFDE59" w14:textId="77777777" w:rsidTr="006C59FA">
        <w:trPr>
          <w:trHeight w:val="432"/>
          <w:jc w:val="center"/>
        </w:trPr>
        <w:tc>
          <w:tcPr>
            <w:tcW w:w="2500" w:type="dxa"/>
            <w:tcBorders>
              <w:top w:val="nil"/>
              <w:left w:val="single" w:sz="4" w:space="0" w:color="auto"/>
              <w:bottom w:val="single" w:sz="4" w:space="0" w:color="auto"/>
              <w:right w:val="single" w:sz="4" w:space="0" w:color="auto"/>
            </w:tcBorders>
            <w:vAlign w:val="center"/>
            <w:hideMark/>
          </w:tcPr>
          <w:p w14:paraId="79BF671F" w14:textId="77777777"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Fallos judiciales gestionados inadecuadamente (Proceso)</w:t>
            </w:r>
          </w:p>
        </w:tc>
        <w:tc>
          <w:tcPr>
            <w:tcW w:w="2480" w:type="dxa"/>
            <w:tcBorders>
              <w:top w:val="nil"/>
              <w:left w:val="nil"/>
              <w:bottom w:val="single" w:sz="4" w:space="0" w:color="auto"/>
              <w:right w:val="single" w:sz="4" w:space="0" w:color="auto"/>
            </w:tcBorders>
            <w:vAlign w:val="center"/>
            <w:hideMark/>
          </w:tcPr>
          <w:p w14:paraId="3EE413B0" w14:textId="02C50C48"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Asegurar la presentación oportuna de los fallos.</w:t>
            </w:r>
          </w:p>
        </w:tc>
        <w:tc>
          <w:tcPr>
            <w:tcW w:w="3220" w:type="dxa"/>
            <w:tcBorders>
              <w:top w:val="nil"/>
              <w:left w:val="nil"/>
              <w:bottom w:val="single" w:sz="4" w:space="0" w:color="auto"/>
              <w:right w:val="single" w:sz="4" w:space="0" w:color="auto"/>
            </w:tcBorders>
            <w:vAlign w:val="center"/>
            <w:hideMark/>
          </w:tcPr>
          <w:p w14:paraId="4ED4117E" w14:textId="3213CADA"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 xml:space="preserve">Monitoreado. </w:t>
            </w:r>
            <w:r w:rsidRPr="008E081C">
              <w:rPr>
                <w:rFonts w:ascii="Arial" w:eastAsia="Times New Roman" w:hAnsi="Arial" w:cs="Arial"/>
                <w:color w:val="000000"/>
                <w:kern w:val="0"/>
                <w:sz w:val="16"/>
                <w:szCs w:val="16"/>
                <w:highlight w:val="cyan"/>
                <w:lang w:val="es-CO" w:eastAsia="es-CO"/>
                <w14:ligatures w14:val="none"/>
              </w:rPr>
              <w:t>No se evidenció</w:t>
            </w:r>
            <w:r w:rsidRPr="008E081C">
              <w:rPr>
                <w:rFonts w:ascii="Arial" w:eastAsia="Times New Roman" w:hAnsi="Arial" w:cs="Arial"/>
                <w:color w:val="000000"/>
                <w:kern w:val="0"/>
                <w:sz w:val="16"/>
                <w:szCs w:val="16"/>
                <w:lang w:val="es-CO" w:eastAsia="es-CO"/>
                <w14:ligatures w14:val="none"/>
              </w:rPr>
              <w:t xml:space="preserve"> materialización de los riesgos. </w:t>
            </w:r>
          </w:p>
        </w:tc>
      </w:tr>
      <w:tr w:rsidR="008E081C" w:rsidRPr="008E081C" w14:paraId="3C952052" w14:textId="77777777" w:rsidTr="006C59FA">
        <w:trPr>
          <w:trHeight w:val="636"/>
          <w:jc w:val="center"/>
        </w:trPr>
        <w:tc>
          <w:tcPr>
            <w:tcW w:w="2500" w:type="dxa"/>
            <w:tcBorders>
              <w:top w:val="nil"/>
              <w:left w:val="single" w:sz="4" w:space="0" w:color="auto"/>
              <w:bottom w:val="single" w:sz="4" w:space="0" w:color="auto"/>
              <w:right w:val="single" w:sz="4" w:space="0" w:color="auto"/>
            </w:tcBorders>
            <w:vAlign w:val="center"/>
            <w:hideMark/>
          </w:tcPr>
          <w:p w14:paraId="4DF1D26D" w14:textId="77777777"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Posibilidad de recibir una dádiva (Corrupción)</w:t>
            </w:r>
          </w:p>
        </w:tc>
        <w:tc>
          <w:tcPr>
            <w:tcW w:w="2480" w:type="dxa"/>
            <w:tcBorders>
              <w:top w:val="nil"/>
              <w:left w:val="nil"/>
              <w:bottom w:val="single" w:sz="4" w:space="0" w:color="auto"/>
              <w:right w:val="single" w:sz="4" w:space="0" w:color="auto"/>
            </w:tcBorders>
            <w:vAlign w:val="center"/>
            <w:hideMark/>
          </w:tcPr>
          <w:p w14:paraId="51226E1F" w14:textId="72DBE57B"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Garantizar el seguimiento a las actuaciones de los apoderados externos.</w:t>
            </w:r>
          </w:p>
        </w:tc>
        <w:tc>
          <w:tcPr>
            <w:tcW w:w="3220" w:type="dxa"/>
            <w:tcBorders>
              <w:top w:val="nil"/>
              <w:left w:val="nil"/>
              <w:bottom w:val="single" w:sz="4" w:space="0" w:color="auto"/>
              <w:right w:val="single" w:sz="4" w:space="0" w:color="auto"/>
            </w:tcBorders>
            <w:vAlign w:val="center"/>
            <w:hideMark/>
          </w:tcPr>
          <w:p w14:paraId="30E782E4" w14:textId="5C637F95" w:rsidR="008E081C" w:rsidRPr="008E081C" w:rsidRDefault="008E081C" w:rsidP="008E081C">
            <w:pPr>
              <w:spacing w:after="0" w:line="240" w:lineRule="auto"/>
              <w:jc w:val="center"/>
              <w:rPr>
                <w:rFonts w:ascii="Arial" w:eastAsia="Times New Roman" w:hAnsi="Arial" w:cs="Arial"/>
                <w:color w:val="000000"/>
                <w:kern w:val="0"/>
                <w:sz w:val="16"/>
                <w:szCs w:val="16"/>
                <w:lang w:val="es-CO" w:eastAsia="es-CO"/>
                <w14:ligatures w14:val="none"/>
              </w:rPr>
            </w:pPr>
            <w:r w:rsidRPr="008E081C">
              <w:rPr>
                <w:rFonts w:ascii="Arial" w:eastAsia="Times New Roman" w:hAnsi="Arial" w:cs="Arial"/>
                <w:color w:val="000000"/>
                <w:kern w:val="0"/>
                <w:sz w:val="16"/>
                <w:szCs w:val="16"/>
                <w:lang w:val="es-CO" w:eastAsia="es-CO"/>
                <w14:ligatures w14:val="none"/>
              </w:rPr>
              <w:t xml:space="preserve">Monitoreado. </w:t>
            </w:r>
            <w:r w:rsidRPr="008E081C">
              <w:rPr>
                <w:rFonts w:ascii="Arial" w:eastAsia="Times New Roman" w:hAnsi="Arial" w:cs="Arial"/>
                <w:color w:val="000000"/>
                <w:kern w:val="0"/>
                <w:sz w:val="16"/>
                <w:szCs w:val="16"/>
                <w:highlight w:val="cyan"/>
                <w:lang w:val="es-CO" w:eastAsia="es-CO"/>
                <w14:ligatures w14:val="none"/>
              </w:rPr>
              <w:t>No se evidenció</w:t>
            </w:r>
            <w:r w:rsidRPr="008E081C">
              <w:rPr>
                <w:rFonts w:ascii="Arial" w:eastAsia="Times New Roman" w:hAnsi="Arial" w:cs="Arial"/>
                <w:color w:val="000000"/>
                <w:kern w:val="0"/>
                <w:sz w:val="16"/>
                <w:szCs w:val="16"/>
                <w:lang w:val="es-CO" w:eastAsia="es-CO"/>
                <w14:ligatures w14:val="none"/>
              </w:rPr>
              <w:t xml:space="preserve"> materialización de los riesgos.</w:t>
            </w:r>
          </w:p>
        </w:tc>
      </w:tr>
    </w:tbl>
    <w:p w14:paraId="7C2F145C" w14:textId="4005CC2C" w:rsidR="008E081C" w:rsidRDefault="008E081C" w:rsidP="007E1377">
      <w:pPr>
        <w:jc w:val="both"/>
      </w:pPr>
      <w:r>
        <w:fldChar w:fldCharType="end"/>
      </w:r>
    </w:p>
    <w:p w14:paraId="189FD61A" w14:textId="12491B84" w:rsidR="006C59FA" w:rsidRDefault="00DA03C3" w:rsidP="007E1377">
      <w:pPr>
        <w:jc w:val="both"/>
      </w:pPr>
      <w:r w:rsidRPr="00DA03C3">
        <w:rPr>
          <w:b/>
          <w:bCs/>
        </w:rPr>
        <w:t>Atributos del Control:</w:t>
      </w:r>
      <w:r w:rsidRPr="00DA03C3">
        <w:t xml:space="preserve"> Se registraron 6 controles, todos de tipo preventivo, que se ejecutan de forma manual y se encuentran documentados.</w:t>
      </w:r>
    </w:p>
    <w:p w14:paraId="454CC3EC" w14:textId="77777777" w:rsidR="00DA03C3" w:rsidRDefault="00DA03C3" w:rsidP="007E1377">
      <w:pPr>
        <w:jc w:val="both"/>
      </w:pPr>
    </w:p>
    <w:p w14:paraId="1F07B55A" w14:textId="77777777" w:rsidR="001F49AC" w:rsidRPr="001F49AC" w:rsidRDefault="001F49AC" w:rsidP="001F49AC">
      <w:pPr>
        <w:jc w:val="both"/>
        <w:rPr>
          <w:b/>
          <w:bCs/>
        </w:rPr>
      </w:pPr>
      <w:r w:rsidRPr="001F49AC">
        <w:rPr>
          <w:b/>
          <w:bCs/>
        </w:rPr>
        <w:t>3.1. Seguimiento al Plan de Mejoramiento Interno</w:t>
      </w:r>
    </w:p>
    <w:p w14:paraId="05C4F286" w14:textId="77777777" w:rsidR="001F49AC" w:rsidRDefault="001F49AC" w:rsidP="001F49AC">
      <w:pPr>
        <w:jc w:val="both"/>
      </w:pPr>
      <w:r>
        <w:t>La OCI evidenció que, a pesar de las acciones tomadas:</w:t>
      </w:r>
    </w:p>
    <w:p w14:paraId="34358449" w14:textId="504AD674" w:rsidR="00DA03C3" w:rsidRDefault="001F49AC" w:rsidP="001F49AC">
      <w:pPr>
        <w:jc w:val="both"/>
      </w:pPr>
      <w:r>
        <w:lastRenderedPageBreak/>
        <w:t xml:space="preserve">Se presentó la </w:t>
      </w:r>
      <w:r w:rsidRPr="001F49AC">
        <w:rPr>
          <w:color w:val="EE0000"/>
        </w:rPr>
        <w:t xml:space="preserve">falta de seguimiento </w:t>
      </w:r>
      <w:r>
        <w:t>permanente de 130 procesos registrados en la plataforma SIPROJWEB, lo que incumple lo establecido en la Resolución 485 de 2023. La eficacia de la acción de seguimiento fue del 66.66%.</w:t>
      </w:r>
    </w:p>
    <w:p w14:paraId="335879C3" w14:textId="77777777" w:rsidR="00F55C10" w:rsidRDefault="00F55C10" w:rsidP="001F49AC">
      <w:pPr>
        <w:jc w:val="both"/>
      </w:pPr>
    </w:p>
    <w:p w14:paraId="1D527924" w14:textId="77777777" w:rsidR="00F55C10" w:rsidRDefault="00F55C10" w:rsidP="001F49AC">
      <w:pPr>
        <w:jc w:val="both"/>
      </w:pPr>
    </w:p>
    <w:sectPr w:rsidR="00F55C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63E3"/>
    <w:multiLevelType w:val="hybridMultilevel"/>
    <w:tmpl w:val="7BACF61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147B0C"/>
    <w:multiLevelType w:val="hybridMultilevel"/>
    <w:tmpl w:val="BD561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C57496E"/>
    <w:multiLevelType w:val="hybridMultilevel"/>
    <w:tmpl w:val="77822F1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3932E0E"/>
    <w:multiLevelType w:val="hybridMultilevel"/>
    <w:tmpl w:val="36AA62B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A3A5CC0"/>
    <w:multiLevelType w:val="hybridMultilevel"/>
    <w:tmpl w:val="F68040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4295441">
    <w:abstractNumId w:val="4"/>
  </w:num>
  <w:num w:numId="2" w16cid:durableId="1754231565">
    <w:abstractNumId w:val="1"/>
  </w:num>
  <w:num w:numId="3" w16cid:durableId="1818297375">
    <w:abstractNumId w:val="3"/>
  </w:num>
  <w:num w:numId="4" w16cid:durableId="2065566841">
    <w:abstractNumId w:val="2"/>
  </w:num>
  <w:num w:numId="5" w16cid:durableId="486702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377"/>
    <w:rsid w:val="00190CFC"/>
    <w:rsid w:val="001C39E2"/>
    <w:rsid w:val="001F49AC"/>
    <w:rsid w:val="0025350E"/>
    <w:rsid w:val="003E43A4"/>
    <w:rsid w:val="006C59FA"/>
    <w:rsid w:val="007E1377"/>
    <w:rsid w:val="00890900"/>
    <w:rsid w:val="008D0320"/>
    <w:rsid w:val="008E081C"/>
    <w:rsid w:val="00B67B93"/>
    <w:rsid w:val="00BE6E1E"/>
    <w:rsid w:val="00C824A3"/>
    <w:rsid w:val="00CF02DE"/>
    <w:rsid w:val="00D8742A"/>
    <w:rsid w:val="00DA03C3"/>
    <w:rsid w:val="00E517B4"/>
    <w:rsid w:val="00F55C10"/>
    <w:rsid w:val="00FA7211"/>
    <w:rsid w:val="00FD2EBE"/>
    <w:rsid w:val="00FF12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914AA"/>
  <w15:chartTrackingRefBased/>
  <w15:docId w15:val="{0B227076-9EA3-4A3F-9607-DEA721D3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7E13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E13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E13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E13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E13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E137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E137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E137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E137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1377"/>
    <w:rPr>
      <w:rFonts w:asciiTheme="majorHAnsi" w:eastAsiaTheme="majorEastAsia" w:hAnsiTheme="majorHAnsi" w:cstheme="majorBidi"/>
      <w:color w:val="0F4761" w:themeColor="accent1" w:themeShade="BF"/>
      <w:sz w:val="40"/>
      <w:szCs w:val="40"/>
      <w:lang w:val="es-ES_tradnl"/>
    </w:rPr>
  </w:style>
  <w:style w:type="character" w:customStyle="1" w:styleId="Ttulo2Car">
    <w:name w:val="Título 2 Car"/>
    <w:basedOn w:val="Fuentedeprrafopredeter"/>
    <w:link w:val="Ttulo2"/>
    <w:uiPriority w:val="9"/>
    <w:semiHidden/>
    <w:rsid w:val="007E1377"/>
    <w:rPr>
      <w:rFonts w:asciiTheme="majorHAnsi" w:eastAsiaTheme="majorEastAsia" w:hAnsiTheme="majorHAnsi" w:cstheme="majorBidi"/>
      <w:color w:val="0F4761" w:themeColor="accent1" w:themeShade="BF"/>
      <w:sz w:val="32"/>
      <w:szCs w:val="32"/>
      <w:lang w:val="es-ES_tradnl"/>
    </w:rPr>
  </w:style>
  <w:style w:type="character" w:customStyle="1" w:styleId="Ttulo3Car">
    <w:name w:val="Título 3 Car"/>
    <w:basedOn w:val="Fuentedeprrafopredeter"/>
    <w:link w:val="Ttulo3"/>
    <w:uiPriority w:val="9"/>
    <w:semiHidden/>
    <w:rsid w:val="007E1377"/>
    <w:rPr>
      <w:rFonts w:eastAsiaTheme="majorEastAsia" w:cstheme="majorBidi"/>
      <w:color w:val="0F4761" w:themeColor="accent1" w:themeShade="BF"/>
      <w:sz w:val="28"/>
      <w:szCs w:val="28"/>
      <w:lang w:val="es-ES_tradnl"/>
    </w:rPr>
  </w:style>
  <w:style w:type="character" w:customStyle="1" w:styleId="Ttulo4Car">
    <w:name w:val="Título 4 Car"/>
    <w:basedOn w:val="Fuentedeprrafopredeter"/>
    <w:link w:val="Ttulo4"/>
    <w:uiPriority w:val="9"/>
    <w:semiHidden/>
    <w:rsid w:val="007E1377"/>
    <w:rPr>
      <w:rFonts w:eastAsiaTheme="majorEastAsia" w:cstheme="majorBidi"/>
      <w:i/>
      <w:iCs/>
      <w:color w:val="0F4761" w:themeColor="accent1" w:themeShade="BF"/>
      <w:lang w:val="es-ES_tradnl"/>
    </w:rPr>
  </w:style>
  <w:style w:type="character" w:customStyle="1" w:styleId="Ttulo5Car">
    <w:name w:val="Título 5 Car"/>
    <w:basedOn w:val="Fuentedeprrafopredeter"/>
    <w:link w:val="Ttulo5"/>
    <w:uiPriority w:val="9"/>
    <w:semiHidden/>
    <w:rsid w:val="007E1377"/>
    <w:rPr>
      <w:rFonts w:eastAsiaTheme="majorEastAsia" w:cstheme="majorBidi"/>
      <w:color w:val="0F4761" w:themeColor="accent1" w:themeShade="BF"/>
      <w:lang w:val="es-ES_tradnl"/>
    </w:rPr>
  </w:style>
  <w:style w:type="character" w:customStyle="1" w:styleId="Ttulo6Car">
    <w:name w:val="Título 6 Car"/>
    <w:basedOn w:val="Fuentedeprrafopredeter"/>
    <w:link w:val="Ttulo6"/>
    <w:uiPriority w:val="9"/>
    <w:semiHidden/>
    <w:rsid w:val="007E1377"/>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7E1377"/>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7E1377"/>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7E1377"/>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7E13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E1377"/>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7E13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E1377"/>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7E1377"/>
    <w:pPr>
      <w:spacing w:before="160"/>
      <w:jc w:val="center"/>
    </w:pPr>
    <w:rPr>
      <w:i/>
      <w:iCs/>
      <w:color w:val="404040" w:themeColor="text1" w:themeTint="BF"/>
    </w:rPr>
  </w:style>
  <w:style w:type="character" w:customStyle="1" w:styleId="CitaCar">
    <w:name w:val="Cita Car"/>
    <w:basedOn w:val="Fuentedeprrafopredeter"/>
    <w:link w:val="Cita"/>
    <w:uiPriority w:val="29"/>
    <w:rsid w:val="007E1377"/>
    <w:rPr>
      <w:i/>
      <w:iCs/>
      <w:color w:val="404040" w:themeColor="text1" w:themeTint="BF"/>
      <w:lang w:val="es-ES_tradnl"/>
    </w:rPr>
  </w:style>
  <w:style w:type="paragraph" w:styleId="Prrafodelista">
    <w:name w:val="List Paragraph"/>
    <w:basedOn w:val="Normal"/>
    <w:uiPriority w:val="34"/>
    <w:qFormat/>
    <w:rsid w:val="007E1377"/>
    <w:pPr>
      <w:ind w:left="720"/>
      <w:contextualSpacing/>
    </w:pPr>
  </w:style>
  <w:style w:type="character" w:styleId="nfasisintenso">
    <w:name w:val="Intense Emphasis"/>
    <w:basedOn w:val="Fuentedeprrafopredeter"/>
    <w:uiPriority w:val="21"/>
    <w:qFormat/>
    <w:rsid w:val="007E1377"/>
    <w:rPr>
      <w:i/>
      <w:iCs/>
      <w:color w:val="0F4761" w:themeColor="accent1" w:themeShade="BF"/>
    </w:rPr>
  </w:style>
  <w:style w:type="paragraph" w:styleId="Citadestacada">
    <w:name w:val="Intense Quote"/>
    <w:basedOn w:val="Normal"/>
    <w:next w:val="Normal"/>
    <w:link w:val="CitadestacadaCar"/>
    <w:uiPriority w:val="30"/>
    <w:qFormat/>
    <w:rsid w:val="007E13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E1377"/>
    <w:rPr>
      <w:i/>
      <w:iCs/>
      <w:color w:val="0F4761" w:themeColor="accent1" w:themeShade="BF"/>
      <w:lang w:val="es-ES_tradnl"/>
    </w:rPr>
  </w:style>
  <w:style w:type="character" w:styleId="Referenciaintensa">
    <w:name w:val="Intense Reference"/>
    <w:basedOn w:val="Fuentedeprrafopredeter"/>
    <w:uiPriority w:val="32"/>
    <w:qFormat/>
    <w:rsid w:val="007E13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1080</Words>
  <Characters>5794</Characters>
  <Application>Microsoft Office Word</Application>
  <DocSecurity>0</DocSecurity>
  <Lines>98</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Ochoa</dc:creator>
  <cp:keywords/>
  <dc:description/>
  <cp:lastModifiedBy>daniel Ochoa</cp:lastModifiedBy>
  <cp:revision>13</cp:revision>
  <dcterms:created xsi:type="dcterms:W3CDTF">2025-11-13T15:43:00Z</dcterms:created>
  <dcterms:modified xsi:type="dcterms:W3CDTF">2025-11-13T16:06:00Z</dcterms:modified>
</cp:coreProperties>
</file>